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Arial" w:cs="Arial" w:eastAsia="Arial" w:hAnsi="Arial"/>
          <w:b w:val="1"/>
          <w:color w:val="1a1a1a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דואליות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'?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a1a1a"/>
          <w:sz w:val="36"/>
          <w:szCs w:val="36"/>
          <w:rtl w:val="1"/>
        </w:rPr>
        <w:t xml:space="preserve">הבורסות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דואליות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ופערי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מחייהם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הסוחרים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והמשקיעים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בבורסות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מונחים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וכיצד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1"/>
        </w:rPr>
        <w:t xml:space="preserve">בהם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הדואליות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שחזרו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מהמסחר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בוול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סטריט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ישראליות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נסחרות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בוול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סטריט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הדואליות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דואליות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נסחרת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בוול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סטריט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הנסחרות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זירות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ובבורסה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אנרג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יאן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בחיפושי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וגז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שולטת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במאגרי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תנין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כריש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בריטית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הנסחרת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בלונדון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באטמ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וייצור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וסייבר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ומכשור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הדואליות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הגדולות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והמוכרות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הנסחרות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ובניו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ענקית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התרופות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הפוספטים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איי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נייס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וייצור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תוכנות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קשרי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אלביט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ניצול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פער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במחיריו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שווקים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למטרת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פעולת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מחירו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זול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ומכירתו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מורכבות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עשויות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קנייה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ומכירה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אחדים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שווקים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המתקזזות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האחת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ומותירות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1"/>
        </w:rPr>
        <w:t xml:space="preserve">מבצען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מחרתיים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יתחדש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שמחת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והמניות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הדואליות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תושפענה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מפערי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עימן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חזרו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מהמסחר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בבורסות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לשעה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בוול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סטריט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שישפיע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הארביטראז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')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1"/>
        </w:rPr>
        <w:t xml:space="preserve">ארביטראז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</w:rPr>
        <mc:AlternateContent>
          <mc:Choice Requires="wps">
            <w:drawing>
              <wp:inline distB="0" distT="0" distL="0" distR="0">
                <wp:extent cx="304800" cy="3048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4800" cy="3048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60"/>
          <w:szCs w:val="60"/>
          <w:rtl w:val="1"/>
        </w:rPr>
        <w:t xml:space="preserve">ארביטראז</w:t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שמתעניין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ההון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האצבע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שבהשקעות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שהסיכוי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להפסד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ולהפך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מאפשרת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להרוויח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במהותם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סותרים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האצבע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והאם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"?</w:t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למושג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פירושים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בבסיסו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העוקבים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הנסחרים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בבורסות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בצורות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הזול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היקר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בפעולות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שמתבצעות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נניח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שמניית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נסחרת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- 60$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וחוזה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עתידי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המאפשר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-64$.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- 60$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העתידי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החודש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64$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ובהנחה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שהעלויות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הנלוות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העמלה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והפרשי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הניירות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-4$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נקי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ונטול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טהור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b w:val="1"/>
          <w:color w:val="222222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ף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35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אפיק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פופולארי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שחקנים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באסטרטגיה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שמגולם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35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המרכיבות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שמשתקף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במחירי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שמשתקף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במחירי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מהתמחור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העוקבות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סוחר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סינטטי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אופציית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CALL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אופציית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PUT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ולהפך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שחקני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המעו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נמוכים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b w:val="1"/>
          <w:color w:val="222222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ניירות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דואלים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דואלים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בורסות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שומעים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בחדשות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דואליות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ופריגו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'?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מתקבל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סוחרי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עוקבים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דואלים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חמישי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סטריט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כשעה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השווקים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בורסות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הנמצאות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להיווצר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לשער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המטבע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שחקן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טהור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המטבע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דואליות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שרבים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נוהגים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המינוח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לקבע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ספקולציה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וקונים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בהעברה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נקנו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נמכרו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השורט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הברוקר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b w:val="1"/>
          <w:color w:val="222222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המרה</w:t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להתבצע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בורסות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המירים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להמירו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לחברת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דיסקונט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נסחרות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בבורסה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נניח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דיסקונט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7 ₪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0.5 ₪,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בהנחה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המימוש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שיעלה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להמיר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והעלויות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- 6.5 ₪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בחסר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hyperlink r:id="rId7">
        <w:r w:rsidDel="00000000" w:rsidR="00000000" w:rsidRPr="00000000">
          <w:rPr>
            <w:rFonts w:ascii="Arial" w:cs="Arial" w:eastAsia="Arial" w:hAnsi="Arial"/>
            <w:color w:val="197c63"/>
            <w:sz w:val="24"/>
            <w:szCs w:val="24"/>
            <w:u w:val="single"/>
            <w:rtl w:val="1"/>
          </w:rPr>
          <w:t xml:space="preserve">שורט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וקנייה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והמרתן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באג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ההמרה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קבועים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צמודים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לדולר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b w:val="1"/>
          <w:color w:val="222222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המכונים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בטעות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כארביטראז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3"/>
          <w:szCs w:val="33"/>
          <w:rtl w:val="1"/>
        </w:rPr>
        <w:t xml:space="preserve">'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הנכתב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הדואליות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הרואים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מתאם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כסוג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הנכסים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לגרוף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קורלציה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מאותה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תעשייה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ולאומי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פורד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נרל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מוטורס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מתרחש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מוכרז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מיזוג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שאחת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רוכשת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הנרכשת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המיזוג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הסיכוי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שהעסקה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תעבור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ינצלו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הפערים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שנוצרים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וודאות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המנייה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הנרכשת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ומכירת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הרוכשת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במציאות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נסגרים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הממהרים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היעילות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כשסוחרים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ועושי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מפעילים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תוכנות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ואלגוריתמים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שתפקידם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שאסטרטגית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מוצלחת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ופופולרית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לשיווי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שסוחרי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שמטבעם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קצרי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רווחים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מהירים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סוחרים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מינוף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הסיכוי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והארביטראז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ובד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הסיכון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שוקי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ההון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הדינמיים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מספקים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הזדמנויות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לסוחרים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המחפשים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תמחור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שמספיק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לרווח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מהיר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תשואת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התיק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יומי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בתיק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לטווח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חול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גלובס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טבע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נייס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אלביט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ארביטראז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הונג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קונג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נסדק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אליבבא</w:t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ארביטרז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גרמניה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ארהב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1"/>
        </w:rPr>
        <w:t xml:space="preserve">אפל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גדולות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מגרמניה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שנסחרות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Depositary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Receipts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ענקית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התוכנה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לתאגידים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יורק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Siemens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קונגלומרט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טכנולוגי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תעשייתי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Volkswagen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VWAGY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יצרנית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VWAGY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תרופות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וכימיקלים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Deutsche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בגרמניה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יורק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Allianz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ALIZY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והשקעות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ALIZY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מותג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הגרמני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נסחר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בפרנקפורט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FWB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ובארה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right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right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eitav.co.il/trade/capital_market_glossary_main/trading_instructions_and_rates_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